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F83C6B" w:rsidTr="00F83C6B">
        <w:tc>
          <w:tcPr>
            <w:tcW w:w="9288" w:type="dxa"/>
            <w:gridSpan w:val="2"/>
            <w:shd w:val="clear" w:color="auto" w:fill="FF0000"/>
          </w:tcPr>
          <w:p w:rsidR="001D6575" w:rsidRPr="00F83C6B" w:rsidRDefault="001D6575" w:rsidP="00F83C6B">
            <w:pPr>
              <w:jc w:val="center"/>
              <w:rPr>
                <w:rFonts w:ascii="Arial" w:hAnsi="Arial" w:cs="Arial"/>
                <w:b/>
                <w:color w:val="FFFFFF"/>
                <w:sz w:val="36"/>
                <w:szCs w:val="36"/>
              </w:rPr>
            </w:pPr>
            <w:r>
              <w:rPr>
                <w:rFonts w:ascii="Arial" w:hAnsi="Arial" w:cs="Arial"/>
                <w:b/>
                <w:bCs/>
                <w:color w:val="FFFFFF"/>
                <w:sz w:val="36"/>
                <w:szCs w:val="36"/>
                <w:lang w:val="it-IT"/>
              </w:rPr>
              <w:t>Istruzioni per l’uso</w:t>
            </w:r>
          </w:p>
          <w:p w:rsidR="001D6575" w:rsidRPr="00F83C6B" w:rsidRDefault="001D6575" w:rsidP="00984DB3">
            <w:pPr>
              <w:jc w:val="center"/>
              <w:rPr>
                <w:rFonts w:ascii="Arial" w:hAnsi="Arial" w:cs="Arial"/>
                <w:color w:val="FFFFFF"/>
                <w:spacing w:val="14"/>
                <w:sz w:val="18"/>
                <w:szCs w:val="18"/>
                <w:shd w:val="clear" w:color="auto" w:fill="FE0000"/>
              </w:rPr>
            </w:pPr>
            <w:r>
              <w:rPr>
                <w:rFonts w:ascii="Arial" w:hAnsi="Arial" w:cs="Arial"/>
                <w:color w:val="FFFFFF"/>
                <w:sz w:val="18"/>
                <w:szCs w:val="18"/>
                <w:shd w:val="clear" w:color="auto" w:fill="FE0000"/>
                <w:lang w:val="it-IT"/>
              </w:rPr>
              <w:t xml:space="preserve">ai sensi del § 14 </w:t>
            </w:r>
            <w:proofErr w:type="spellStart"/>
            <w:r>
              <w:rPr>
                <w:rFonts w:ascii="Arial" w:hAnsi="Arial" w:cs="Arial"/>
                <w:color w:val="FFFFFF"/>
                <w:sz w:val="18"/>
                <w:szCs w:val="18"/>
                <w:shd w:val="clear" w:color="auto" w:fill="FE0000"/>
                <w:lang w:val="it-IT"/>
              </w:rPr>
              <w:t>GefStoffV</w:t>
            </w:r>
            <w:proofErr w:type="spellEnd"/>
            <w:r>
              <w:rPr>
                <w:rFonts w:ascii="Arial" w:hAnsi="Arial" w:cs="Arial"/>
                <w:color w:val="FFFFFF"/>
                <w:sz w:val="18"/>
                <w:szCs w:val="18"/>
                <w:shd w:val="clear" w:color="auto" w:fill="FE0000"/>
                <w:lang w:val="it-IT"/>
              </w:rPr>
              <w:t xml:space="preserve"> (</w:t>
            </w:r>
            <w:proofErr w:type="spellStart"/>
            <w:r>
              <w:rPr>
                <w:rFonts w:ascii="Arial" w:hAnsi="Arial" w:cs="Arial"/>
                <w:i/>
                <w:iCs/>
                <w:color w:val="FFFFFF"/>
                <w:sz w:val="18"/>
                <w:szCs w:val="18"/>
                <w:shd w:val="clear" w:color="auto" w:fill="FE0000"/>
                <w:lang w:val="it-IT"/>
              </w:rPr>
              <w:t>ndt</w:t>
            </w:r>
            <w:proofErr w:type="spellEnd"/>
            <w:r>
              <w:rPr>
                <w:rFonts w:ascii="Arial" w:hAnsi="Arial" w:cs="Arial"/>
                <w:i/>
                <w:iCs/>
                <w:color w:val="FFFFFF"/>
                <w:sz w:val="18"/>
                <w:szCs w:val="18"/>
                <w:shd w:val="clear" w:color="auto" w:fill="FE0000"/>
                <w:lang w:val="it-IT"/>
              </w:rPr>
              <w:t>.: ordinanza sulle sostanze pericolose</w:t>
            </w:r>
            <w:r>
              <w:rPr>
                <w:rFonts w:ascii="Arial" w:hAnsi="Arial" w:cs="Arial"/>
                <w:color w:val="FFFFFF"/>
                <w:sz w:val="18"/>
                <w:szCs w:val="18"/>
                <w:shd w:val="clear" w:color="auto" w:fill="FE0000"/>
                <w:lang w:val="it-IT"/>
              </w:rPr>
              <w:t xml:space="preserve">) </w:t>
            </w:r>
          </w:p>
        </w:tc>
      </w:tr>
      <w:tr w:rsidR="001D6575" w:rsidRPr="00F83C6B" w:rsidTr="00F83C6B">
        <w:tc>
          <w:tcPr>
            <w:tcW w:w="2025" w:type="dxa"/>
            <w:tcBorders>
              <w:bottom w:val="single" w:sz="4" w:space="0" w:color="auto"/>
            </w:tcBorders>
            <w:shd w:val="clear" w:color="auto" w:fill="auto"/>
          </w:tcPr>
          <w:p w:rsidR="001D6575" w:rsidRPr="00876D21" w:rsidRDefault="001D6575" w:rsidP="00C839E1">
            <w:pPr>
              <w:rPr>
                <w:rFonts w:ascii="Arial" w:hAnsi="Arial" w:cs="Arial"/>
                <w:b/>
                <w:sz w:val="20"/>
                <w:szCs w:val="20"/>
                <w:lang w:val="en-US"/>
              </w:rPr>
            </w:pPr>
            <w:r w:rsidRPr="00876D21">
              <w:rPr>
                <w:rFonts w:ascii="Arial" w:hAnsi="Arial" w:cs="Arial"/>
                <w:b/>
                <w:bCs/>
                <w:sz w:val="20"/>
                <w:szCs w:val="20"/>
                <w:lang w:val="it-IT"/>
              </w:rPr>
              <w:t>Area di azione:</w:t>
            </w:r>
          </w:p>
          <w:p w:rsidR="001D6575" w:rsidRPr="00876D21" w:rsidRDefault="001D6575" w:rsidP="00C839E1">
            <w:pPr>
              <w:rPr>
                <w:rFonts w:ascii="Arial" w:hAnsi="Arial" w:cs="Arial"/>
                <w:b/>
                <w:sz w:val="20"/>
                <w:szCs w:val="20"/>
                <w:lang w:val="en-US"/>
              </w:rPr>
            </w:pPr>
            <w:r w:rsidRPr="00876D21">
              <w:rPr>
                <w:rFonts w:ascii="Arial" w:hAnsi="Arial" w:cs="Arial"/>
                <w:b/>
                <w:bCs/>
                <w:sz w:val="20"/>
                <w:szCs w:val="20"/>
                <w:lang w:val="it-IT"/>
              </w:rPr>
              <w:t>Luogo di lavoro:</w:t>
            </w:r>
          </w:p>
          <w:p w:rsidR="001D6575" w:rsidRPr="00F83C6B" w:rsidRDefault="001D6575" w:rsidP="00C839E1">
            <w:pPr>
              <w:rPr>
                <w:rFonts w:ascii="Arial" w:hAnsi="Arial" w:cs="Arial"/>
              </w:rPr>
            </w:pPr>
            <w:r w:rsidRPr="00876D21">
              <w:rPr>
                <w:rFonts w:ascii="Arial" w:hAnsi="Arial" w:cs="Arial"/>
                <w:b/>
                <w:bCs/>
                <w:sz w:val="20"/>
                <w:szCs w:val="20"/>
                <w:lang w:val="it-IT"/>
              </w:rPr>
              <w:t>Attività:</w:t>
            </w:r>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it-IT"/>
              </w:rPr>
              <w:t>Designazione della sostanza pericolosa</w:t>
            </w:r>
          </w:p>
        </w:tc>
      </w:tr>
      <w:tr w:rsidR="001D6575" w:rsidRPr="00F83C6B" w:rsidTr="00F83C6B">
        <w:tc>
          <w:tcPr>
            <w:tcW w:w="9288" w:type="dxa"/>
            <w:gridSpan w:val="2"/>
            <w:tcBorders>
              <w:bottom w:val="single" w:sz="4" w:space="0" w:color="auto"/>
            </w:tcBorders>
            <w:shd w:val="clear" w:color="auto" w:fill="auto"/>
          </w:tcPr>
          <w:p w:rsidR="001D6575" w:rsidRPr="00F83C6B" w:rsidRDefault="00984DB3" w:rsidP="00F83C6B">
            <w:pPr>
              <w:jc w:val="center"/>
              <w:rPr>
                <w:rFonts w:ascii="Arial" w:hAnsi="Arial" w:cs="Arial"/>
                <w:b/>
                <w:bCs/>
                <w:spacing w:val="2"/>
                <w:sz w:val="40"/>
                <w:szCs w:val="40"/>
              </w:rPr>
            </w:pPr>
            <w:proofErr w:type="spellStart"/>
            <w:r>
              <w:rPr>
                <w:rFonts w:ascii="Helvetica-Bold" w:hAnsi="Helvetica-Bold" w:cs="Helvetica-Bold"/>
                <w:b/>
                <w:bCs/>
                <w:sz w:val="40"/>
                <w:szCs w:val="40"/>
                <w:lang w:val="it-IT"/>
              </w:rPr>
              <w:t>Cleanet</w:t>
            </w:r>
            <w:proofErr w:type="spellEnd"/>
            <w:r>
              <w:rPr>
                <w:rFonts w:ascii="Helvetica-Bold" w:hAnsi="Helvetica-Bold" w:cs="Helvetica-Bold"/>
                <w:b/>
                <w:bCs/>
                <w:sz w:val="40"/>
                <w:szCs w:val="40"/>
                <w:lang w:val="it-IT"/>
              </w:rPr>
              <w:t>® GR 11</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it-IT"/>
              </w:rPr>
              <w:t>Rischi per le persone e l’ambiente</w:t>
            </w:r>
          </w:p>
        </w:tc>
      </w:tr>
      <w:tr w:rsidR="001D6575" w:rsidRPr="00F83C6B" w:rsidTr="00F83C6B">
        <w:trPr>
          <w:trHeight w:val="701"/>
        </w:trPr>
        <w:tc>
          <w:tcPr>
            <w:tcW w:w="2025" w:type="dxa"/>
            <w:tcBorders>
              <w:bottom w:val="single" w:sz="4" w:space="0" w:color="auto"/>
            </w:tcBorders>
            <w:shd w:val="clear" w:color="auto" w:fill="auto"/>
          </w:tcPr>
          <w:p w:rsidR="001E2CF2" w:rsidRPr="00F83C6B" w:rsidRDefault="001E2CF2" w:rsidP="00984DB3">
            <w:pPr>
              <w:rPr>
                <w:rFonts w:ascii="Arial" w:hAnsi="Arial" w:cs="Arial"/>
              </w:rPr>
            </w:pPr>
          </w:p>
        </w:tc>
        <w:tc>
          <w:tcPr>
            <w:tcW w:w="7263" w:type="dxa"/>
            <w:tcBorders>
              <w:bottom w:val="single" w:sz="4" w:space="0" w:color="auto"/>
            </w:tcBorders>
            <w:shd w:val="clear" w:color="auto" w:fill="auto"/>
          </w:tcPr>
          <w:p w:rsidR="001E2CF2" w:rsidRDefault="001E2CF2" w:rsidP="00645973">
            <w:pPr>
              <w:rPr>
                <w:rFonts w:ascii="Arial" w:hAnsi="Arial" w:cs="Arial"/>
                <w:spacing w:val="2"/>
                <w:sz w:val="18"/>
                <w:szCs w:val="18"/>
              </w:rPr>
            </w:pPr>
          </w:p>
          <w:p w:rsidR="001E2CF2" w:rsidRPr="00F83C6B" w:rsidRDefault="001E2CF2" w:rsidP="00645973">
            <w:pPr>
              <w:rPr>
                <w:rFonts w:ascii="Arial" w:hAnsi="Arial" w:cs="Arial"/>
                <w:spacing w:val="2"/>
                <w:sz w:val="18"/>
                <w:szCs w:val="18"/>
              </w:rPr>
            </w:pPr>
            <w:r>
              <w:rPr>
                <w:rFonts w:ascii="Arial" w:hAnsi="Arial" w:cs="Arial"/>
                <w:sz w:val="18"/>
                <w:szCs w:val="18"/>
                <w:lang w:val="it-IT"/>
              </w:rPr>
              <w:t>-</w:t>
            </w:r>
          </w:p>
        </w:tc>
      </w:tr>
      <w:tr w:rsidR="001D6575" w:rsidRPr="00876D21" w:rsidTr="00F83C6B">
        <w:trPr>
          <w:trHeight w:val="248"/>
        </w:trPr>
        <w:tc>
          <w:tcPr>
            <w:tcW w:w="9288" w:type="dxa"/>
            <w:gridSpan w:val="2"/>
            <w:shd w:val="clear" w:color="auto" w:fill="FF0000"/>
          </w:tcPr>
          <w:p w:rsidR="001D6575" w:rsidRPr="00876D21"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it-IT"/>
              </w:rPr>
              <w:t>Misure precauzionali e regole comportamentali</w:t>
            </w:r>
          </w:p>
        </w:tc>
      </w:tr>
      <w:tr w:rsidR="001D6575" w:rsidRPr="00F83C6B" w:rsidTr="00F83C6B">
        <w:tc>
          <w:tcPr>
            <w:tcW w:w="2025" w:type="dxa"/>
            <w:tcBorders>
              <w:bottom w:val="single" w:sz="4" w:space="0" w:color="auto"/>
            </w:tcBorders>
            <w:shd w:val="clear" w:color="auto" w:fill="auto"/>
          </w:tcPr>
          <w:p w:rsidR="00AE17C9" w:rsidRDefault="00984DB3" w:rsidP="00AE17C9">
            <w:r>
              <w:rPr>
                <w:noProof/>
                <w:lang w:val="it-IT"/>
              </w:rPr>
              <w:drawing>
                <wp:inline distT="0" distB="0" distL="0" distR="0">
                  <wp:extent cx="523875" cy="523875"/>
                  <wp:effectExtent l="0" t="0" r="9525"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it-IT"/>
              </w:rPr>
              <w:drawing>
                <wp:inline distT="0" distB="0" distL="0" distR="0">
                  <wp:extent cx="514350" cy="5143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E17C9" w:rsidRDefault="00AE17C9" w:rsidP="00AE17C9">
            <w:pPr>
              <w:rPr>
                <w:noProof/>
              </w:rPr>
            </w:pPr>
          </w:p>
          <w:p w:rsidR="00232051" w:rsidRPr="00F83C6B" w:rsidRDefault="00984DB3" w:rsidP="00AE17C9">
            <w:pPr>
              <w:rPr>
                <w:rFonts w:ascii="Arial" w:hAnsi="Arial" w:cs="Arial"/>
              </w:rPr>
            </w:pPr>
            <w:r>
              <w:rPr>
                <w:noProof/>
                <w:lang w:val="it-IT"/>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984DB3" w:rsidP="00984DB3">
            <w:pPr>
              <w:jc w:val="both"/>
              <w:rPr>
                <w:rFonts w:ascii="Arial" w:hAnsi="Arial" w:cs="Arial"/>
                <w:spacing w:val="2"/>
                <w:sz w:val="20"/>
                <w:szCs w:val="20"/>
              </w:rPr>
            </w:pPr>
            <w:r>
              <w:rPr>
                <w:rFonts w:ascii="Arial" w:hAnsi="Arial" w:cs="Arial"/>
                <w:sz w:val="20"/>
                <w:szCs w:val="20"/>
                <w:lang w:val="it-IT"/>
              </w:rPr>
              <w:t xml:space="preserve">Garantire un’ottima ventilazione del luogo di lavoro. Non fumare, mangiare o bere nei luoghi di lavoro e nei magazzini. Inoltre, non conservare cibi, bevande o tabacco. Dispositivi di sicurezza obbligatori: occhiali di sicurezza o protezione del viso Segnalare immediatamente qualsiasi malfunzionamento al proprio supervisore. Effettuare correttamente e con cautela le riparazioni necessarie. Le tubazioni devono essere completamente svuotate. Evitare che il liquido evapori o schizzi quando viene versato. Trasportare i contenitori fragili contenenti la sostanza solo in combinazione con un altro contenitore aggiuntivo (ad es. secchio di plastica con manico). Versare solo in contenitori puliti e resistenti </w:t>
            </w:r>
            <w:proofErr w:type="gramStart"/>
            <w:r>
              <w:rPr>
                <w:rFonts w:ascii="Arial" w:hAnsi="Arial" w:cs="Arial"/>
                <w:sz w:val="20"/>
                <w:szCs w:val="20"/>
                <w:lang w:val="it-IT"/>
              </w:rPr>
              <w:t>agli alcali</w:t>
            </w:r>
            <w:proofErr w:type="gramEnd"/>
            <w:r>
              <w:rPr>
                <w:rFonts w:ascii="Arial" w:hAnsi="Arial" w:cs="Arial"/>
                <w:sz w:val="20"/>
                <w:szCs w:val="20"/>
                <w:lang w:val="it-IT"/>
              </w:rPr>
              <w:t>.</w:t>
            </w:r>
          </w:p>
        </w:tc>
      </w:tr>
      <w:tr w:rsidR="001D6575" w:rsidRPr="00876D21" w:rsidTr="00F83C6B">
        <w:tc>
          <w:tcPr>
            <w:tcW w:w="9288" w:type="dxa"/>
            <w:gridSpan w:val="2"/>
            <w:shd w:val="clear" w:color="auto" w:fill="FF0000"/>
          </w:tcPr>
          <w:p w:rsidR="001D6575" w:rsidRPr="00876D21"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it-IT"/>
              </w:rPr>
              <w:t>Comportamento in caso di pericolo</w:t>
            </w:r>
          </w:p>
        </w:tc>
      </w:tr>
      <w:tr w:rsidR="001D6575" w:rsidRPr="00876D21" w:rsidTr="00F83C6B">
        <w:tc>
          <w:tcPr>
            <w:tcW w:w="2025" w:type="dxa"/>
            <w:tcBorders>
              <w:bottom w:val="single" w:sz="4" w:space="0" w:color="auto"/>
            </w:tcBorders>
            <w:shd w:val="clear" w:color="auto" w:fill="auto"/>
          </w:tcPr>
          <w:p w:rsidR="009E4313" w:rsidRPr="00876D21" w:rsidRDefault="009E4313" w:rsidP="00C839E1">
            <w:pPr>
              <w:rPr>
                <w:noProof/>
                <w:lang w:val="en-US"/>
              </w:rPr>
            </w:pPr>
          </w:p>
          <w:p w:rsidR="001D6575" w:rsidRPr="00876D21" w:rsidRDefault="001D6575" w:rsidP="00C839E1">
            <w:pPr>
              <w:rPr>
                <w:rFonts w:ascii="Arial" w:hAnsi="Arial" w:cs="Arial"/>
                <w:lang w:val="en-US"/>
              </w:rPr>
            </w:pPr>
          </w:p>
        </w:tc>
        <w:tc>
          <w:tcPr>
            <w:tcW w:w="7263" w:type="dxa"/>
            <w:tcBorders>
              <w:bottom w:val="single" w:sz="4" w:space="0" w:color="auto"/>
            </w:tcBorders>
            <w:shd w:val="clear" w:color="auto" w:fill="auto"/>
          </w:tcPr>
          <w:p w:rsidR="00984DB3" w:rsidRPr="00876D21" w:rsidRDefault="00984DB3" w:rsidP="00984DB3">
            <w:pPr>
              <w:jc w:val="both"/>
              <w:rPr>
                <w:rFonts w:ascii="Arial" w:hAnsi="Arial" w:cs="Arial"/>
                <w:spacing w:val="2"/>
                <w:sz w:val="20"/>
                <w:szCs w:val="20"/>
                <w:lang w:val="en-US"/>
              </w:rPr>
            </w:pPr>
            <w:r>
              <w:rPr>
                <w:rFonts w:ascii="Arial" w:hAnsi="Arial" w:cs="Arial"/>
                <w:sz w:val="20"/>
                <w:szCs w:val="20"/>
                <w:lang w:val="it-IT"/>
              </w:rPr>
              <w:t>In caso di incendio, seguire scrupolosamente le istruzioni operative.</w:t>
            </w:r>
          </w:p>
          <w:p w:rsidR="00984DB3" w:rsidRPr="00876D21" w:rsidRDefault="00984DB3" w:rsidP="00984DB3">
            <w:pPr>
              <w:jc w:val="both"/>
              <w:rPr>
                <w:rFonts w:ascii="Arial" w:hAnsi="Arial" w:cs="Arial"/>
                <w:spacing w:val="2"/>
                <w:sz w:val="20"/>
                <w:szCs w:val="20"/>
                <w:lang w:val="en-US"/>
              </w:rPr>
            </w:pPr>
            <w:r>
              <w:rPr>
                <w:rFonts w:ascii="Arial" w:hAnsi="Arial"/>
                <w:sz w:val="20"/>
                <w:szCs w:val="20"/>
                <w:lang w:val="it-IT"/>
              </w:rPr>
              <w:t>Spegnere piccoli incendi con un estintore a CO2 o a polvere o con un getto d’acqua a spruzzo. Se possibile</w:t>
            </w:r>
            <w:r>
              <w:rPr>
                <w:lang w:val="it-IT"/>
              </w:rPr>
              <w:t xml:space="preserve"> </w:t>
            </w:r>
            <w:r>
              <w:rPr>
                <w:rFonts w:ascii="Arial" w:hAnsi="Arial"/>
                <w:sz w:val="20"/>
                <w:szCs w:val="20"/>
                <w:lang w:val="it-IT"/>
              </w:rPr>
              <w:t>diluire con abbondante acqua. Evitare l’inalazione di polveri, vapori o fumi: utilizzare un respiratore.</w:t>
            </w:r>
          </w:p>
          <w:p w:rsidR="001D6575" w:rsidRPr="00876D21" w:rsidRDefault="00984DB3" w:rsidP="00984DB3">
            <w:pPr>
              <w:jc w:val="both"/>
              <w:rPr>
                <w:rFonts w:ascii="Arial" w:hAnsi="Arial" w:cs="Arial"/>
                <w:spacing w:val="2"/>
                <w:sz w:val="18"/>
                <w:szCs w:val="18"/>
                <w:lang w:val="en-US"/>
              </w:rPr>
            </w:pPr>
            <w:r>
              <w:rPr>
                <w:rFonts w:ascii="Arial" w:hAnsi="Arial" w:cs="Arial"/>
                <w:sz w:val="20"/>
                <w:szCs w:val="20"/>
                <w:lang w:val="it-IT"/>
              </w:rPr>
              <w:t>Se si notano perdite o fughe, informare immediatamente il proprio supervisore o la direzione aziendale.</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it-IT"/>
              </w:rPr>
              <w:t>Pronto soccorso</w:t>
            </w:r>
          </w:p>
        </w:tc>
      </w:tr>
      <w:tr w:rsidR="00044630" w:rsidRPr="00F83C6B" w:rsidTr="00F83C6B">
        <w:tc>
          <w:tcPr>
            <w:tcW w:w="2025" w:type="dxa"/>
            <w:vMerge w:val="restart"/>
            <w:shd w:val="clear" w:color="auto" w:fill="auto"/>
          </w:tcPr>
          <w:p w:rsidR="00044630" w:rsidRPr="00F83C6B" w:rsidRDefault="00984DB3" w:rsidP="00C839E1">
            <w:pPr>
              <w:rPr>
                <w:rFonts w:ascii="Arial" w:hAnsi="Arial" w:cs="Arial"/>
              </w:rPr>
            </w:pPr>
            <w:r>
              <w:rPr>
                <w:noProof/>
                <w:lang w:val="it-IT"/>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F54AD6" w:rsidRPr="00984DB3" w:rsidRDefault="00984DB3" w:rsidP="00876D21">
            <w:pPr>
              <w:jc w:val="both"/>
              <w:rPr>
                <w:rFonts w:ascii="Arial" w:hAnsi="Arial" w:cs="Arial"/>
                <w:spacing w:val="2"/>
                <w:sz w:val="20"/>
                <w:szCs w:val="20"/>
              </w:rPr>
            </w:pPr>
            <w:r>
              <w:rPr>
                <w:rFonts w:ascii="Arial" w:hAnsi="Arial" w:cs="Arial"/>
                <w:sz w:val="20"/>
                <w:szCs w:val="20"/>
                <w:lang w:val="it-IT"/>
              </w:rPr>
              <w:t>Lavare accuratamente la pelle interessata con acqua e sapone. In caso di un contatto con la pelle molto ampio, sciacquare immediatamente con la doccia d’emergenza e rimuovere</w:t>
            </w:r>
            <w:r w:rsidR="00876D21">
              <w:rPr>
                <w:rFonts w:ascii="Arial" w:hAnsi="Arial" w:cs="Arial"/>
                <w:sz w:val="20"/>
                <w:szCs w:val="20"/>
                <w:lang w:val="it-IT"/>
              </w:rPr>
              <w:t xml:space="preserve"> </w:t>
            </w:r>
            <w:bookmarkStart w:id="0" w:name="_GoBack"/>
            <w:bookmarkEnd w:id="0"/>
            <w:r>
              <w:rPr>
                <w:rFonts w:ascii="Arial" w:hAnsi="Arial" w:cs="Arial"/>
                <w:sz w:val="20"/>
                <w:szCs w:val="20"/>
                <w:lang w:val="it-IT"/>
              </w:rPr>
              <w:t xml:space="preserve">delicatamente gli indumenti bagnati. Risciacquare quindi la pelle con abbondante acqua e, se necessario, utilizzare con un detergente come </w:t>
            </w:r>
            <w:proofErr w:type="spellStart"/>
            <w:r>
              <w:rPr>
                <w:rFonts w:ascii="Arial" w:hAnsi="Arial" w:cs="Arial"/>
                <w:sz w:val="20"/>
                <w:szCs w:val="20"/>
                <w:lang w:val="it-IT"/>
              </w:rPr>
              <w:t>Previn</w:t>
            </w:r>
            <w:proofErr w:type="spellEnd"/>
            <w:r>
              <w:rPr>
                <w:rFonts w:ascii="Arial" w:hAnsi="Arial" w:cs="Arial"/>
                <w:sz w:val="20"/>
                <w:szCs w:val="20"/>
                <w:lang w:val="it-IT"/>
              </w:rPr>
              <w:t>. In caso di ustioni, raffreddare la pelle con acqua fredda fino a quando il dolore svanisce. Non bendare ustioni su viso e occhi. Richiedere assistenza medica. In caso di contatto con gli occhi, sciacquare immediatamente con acqua per alcuni minuti e informare il supervisore. Dopo l’assistenza aziendale interna consultare un oculista. In caso di ingestione, bere molta acqua, se disponibile con l’aggiunta di carboni attivi. Per quanto possibile, non vomitare. Se il soggetto è svenuto, provvedere a tenerlo in posizione stabile su un fianco. Chiamare o consultare un medico. In caso di inalazione, fornire aria fresca, riposo e calore. Chiamare un medico se necessario.</w:t>
            </w: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876D21" w:rsidRDefault="00044630" w:rsidP="00F83C6B">
            <w:pPr>
              <w:jc w:val="both"/>
              <w:rPr>
                <w:rFonts w:ascii="Arial" w:hAnsi="Arial" w:cs="Arial"/>
                <w:b/>
                <w:bCs/>
                <w:sz w:val="18"/>
                <w:szCs w:val="18"/>
                <w:lang w:val="en-US"/>
              </w:rPr>
            </w:pPr>
            <w:r>
              <w:rPr>
                <w:rFonts w:ascii="Arial" w:hAnsi="Arial" w:cs="Arial"/>
                <w:b/>
                <w:bCs/>
                <w:sz w:val="18"/>
                <w:szCs w:val="18"/>
                <w:lang w:val="it-IT"/>
              </w:rPr>
              <w:t xml:space="preserve">In caso di emergenza: </w:t>
            </w:r>
          </w:p>
          <w:p w:rsidR="00044630" w:rsidRPr="00876D21" w:rsidRDefault="00044630" w:rsidP="00F83C6B">
            <w:pPr>
              <w:jc w:val="both"/>
              <w:rPr>
                <w:rFonts w:ascii="Arial" w:hAnsi="Arial" w:cs="Arial"/>
                <w:b/>
                <w:bCs/>
                <w:sz w:val="18"/>
                <w:szCs w:val="18"/>
                <w:lang w:val="en-US"/>
              </w:rPr>
            </w:pPr>
          </w:p>
          <w:p w:rsidR="00044630" w:rsidRPr="00876D21" w:rsidRDefault="00044630" w:rsidP="00F83C6B">
            <w:pPr>
              <w:jc w:val="both"/>
              <w:rPr>
                <w:rFonts w:ascii="Arial" w:hAnsi="Arial" w:cs="Arial"/>
                <w:b/>
                <w:bCs/>
                <w:spacing w:val="-2"/>
                <w:sz w:val="18"/>
                <w:szCs w:val="18"/>
                <w:lang w:val="en-US"/>
              </w:rPr>
            </w:pPr>
            <w:r>
              <w:rPr>
                <w:rFonts w:ascii="Arial" w:hAnsi="Arial" w:cs="Arial"/>
                <w:b/>
                <w:bCs/>
                <w:sz w:val="18"/>
                <w:szCs w:val="18"/>
                <w:lang w:val="it-IT"/>
              </w:rPr>
              <w:t>Medico competente per il primo intervento</w:t>
            </w:r>
          </w:p>
          <w:p w:rsidR="00044630" w:rsidRPr="00F83C6B" w:rsidRDefault="00044630" w:rsidP="00C839E1">
            <w:pPr>
              <w:rPr>
                <w:rFonts w:ascii="Arial" w:hAnsi="Arial" w:cs="Arial"/>
                <w:b/>
                <w:bCs/>
                <w:sz w:val="18"/>
                <w:szCs w:val="18"/>
              </w:rPr>
            </w:pPr>
            <w:r>
              <w:rPr>
                <w:rFonts w:ascii="Arial" w:hAnsi="Arial" w:cs="Arial"/>
                <w:b/>
                <w:bCs/>
                <w:sz w:val="18"/>
                <w:szCs w:val="18"/>
                <w:lang w:val="it-IT"/>
              </w:rPr>
              <w:t>Chiamata di emergenza</w:t>
            </w:r>
          </w:p>
          <w:p w:rsidR="00044630" w:rsidRPr="00F83C6B" w:rsidRDefault="00044630" w:rsidP="00C839E1">
            <w:pPr>
              <w:rPr>
                <w:rFonts w:ascii="Arial" w:hAnsi="Arial" w:cs="Arial"/>
                <w:bCs/>
                <w:sz w:val="18"/>
                <w:szCs w:val="18"/>
              </w:rPr>
            </w:pPr>
            <w:r>
              <w:rPr>
                <w:rFonts w:ascii="Arial" w:hAnsi="Arial" w:cs="Arial"/>
                <w:b/>
                <w:bCs/>
                <w:sz w:val="18"/>
                <w:szCs w:val="18"/>
                <w:lang w:val="it-IT"/>
              </w:rPr>
              <w:t>Vigili del fuoco</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it-IT"/>
              </w:rPr>
              <w:t>Corretto smaltimento</w:t>
            </w:r>
          </w:p>
        </w:tc>
      </w:tr>
      <w:tr w:rsidR="0048189E" w:rsidRPr="00876D21" w:rsidTr="00F83C6B">
        <w:tc>
          <w:tcPr>
            <w:tcW w:w="2025" w:type="dxa"/>
            <w:vMerge w:val="restart"/>
            <w:shd w:val="clear" w:color="auto" w:fill="auto"/>
          </w:tcPr>
          <w:p w:rsidR="0048189E" w:rsidRPr="00F83C6B" w:rsidRDefault="00984DB3" w:rsidP="00C839E1">
            <w:pPr>
              <w:rPr>
                <w:rFonts w:ascii="Arial" w:hAnsi="Arial" w:cs="Arial"/>
              </w:rPr>
            </w:pPr>
            <w:r>
              <w:rPr>
                <w:rFonts w:ascii="Arial" w:hAnsi="Arial" w:cs="Arial"/>
                <w:noProof/>
                <w:lang w:val="it-IT"/>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F54AD6" w:rsidRPr="00876D21" w:rsidRDefault="00984DB3" w:rsidP="00984DB3">
            <w:pPr>
              <w:autoSpaceDE w:val="0"/>
              <w:autoSpaceDN w:val="0"/>
              <w:adjustRightInd w:val="0"/>
              <w:spacing w:after="7" w:line="230" w:lineRule="exact"/>
              <w:rPr>
                <w:rFonts w:ascii="Arial" w:hAnsi="Arial" w:cs="Arial"/>
                <w:bCs/>
                <w:spacing w:val="-2"/>
                <w:sz w:val="18"/>
                <w:szCs w:val="18"/>
                <w:lang w:val="en-US"/>
              </w:rPr>
            </w:pPr>
            <w:r>
              <w:rPr>
                <w:rFonts w:ascii="Arial" w:hAnsi="Arial" w:cs="Arial"/>
                <w:sz w:val="20"/>
                <w:szCs w:val="20"/>
                <w:lang w:val="it-IT"/>
              </w:rPr>
              <w:t>Assorbire il liquido fuoriuscito con un apposito legante universale e consegnarlo all’ente responsabile dello smaltimento in contenitori chiusi. Lo stesso vale per i rifiuti. Piccole quantità possono essere diluite con acqua e scaricate nella rete fognaria.</w:t>
            </w:r>
          </w:p>
        </w:tc>
      </w:tr>
      <w:tr w:rsidR="0048189E" w:rsidRPr="00876D21" w:rsidTr="00F83C6B">
        <w:tc>
          <w:tcPr>
            <w:tcW w:w="2025" w:type="dxa"/>
            <w:vMerge/>
            <w:shd w:val="clear" w:color="auto" w:fill="auto"/>
          </w:tcPr>
          <w:p w:rsidR="0048189E" w:rsidRPr="00876D21" w:rsidRDefault="0048189E" w:rsidP="00C839E1">
            <w:pPr>
              <w:rPr>
                <w:rFonts w:ascii="Arial" w:hAnsi="Arial" w:cs="Arial"/>
                <w:lang w:val="en-US"/>
              </w:rPr>
            </w:pPr>
          </w:p>
        </w:tc>
        <w:tc>
          <w:tcPr>
            <w:tcW w:w="7263" w:type="dxa"/>
            <w:shd w:val="clear" w:color="auto" w:fill="auto"/>
          </w:tcPr>
          <w:p w:rsidR="0048189E" w:rsidRPr="00876D21" w:rsidRDefault="0048189E" w:rsidP="00C839E1">
            <w:pPr>
              <w:rPr>
                <w:rFonts w:ascii="Arial" w:hAnsi="Arial" w:cs="Arial"/>
                <w:b/>
                <w:bCs/>
                <w:sz w:val="18"/>
                <w:szCs w:val="18"/>
                <w:lang w:val="en-US"/>
              </w:rPr>
            </w:pPr>
            <w:r>
              <w:rPr>
                <w:rFonts w:ascii="Arial" w:hAnsi="Arial" w:cs="Arial"/>
                <w:sz w:val="18"/>
                <w:szCs w:val="18"/>
                <w:lang w:val="it-IT"/>
              </w:rPr>
              <w:tab/>
            </w:r>
            <w:r>
              <w:rPr>
                <w:rFonts w:ascii="Arial" w:hAnsi="Arial" w:cs="Arial"/>
                <w:sz w:val="18"/>
                <w:szCs w:val="18"/>
                <w:lang w:val="it-IT"/>
              </w:rPr>
              <w:tab/>
            </w:r>
            <w:r>
              <w:rPr>
                <w:rFonts w:ascii="Arial" w:hAnsi="Arial" w:cs="Arial"/>
                <w:b/>
                <w:bCs/>
                <w:sz w:val="18"/>
                <w:szCs w:val="18"/>
                <w:lang w:val="it-IT"/>
              </w:rPr>
              <w:t>Realizzazione</w:t>
            </w:r>
            <w:r>
              <w:rPr>
                <w:rFonts w:ascii="Arial" w:hAnsi="Arial" w:cs="Arial"/>
                <w:sz w:val="18"/>
                <w:szCs w:val="18"/>
                <w:lang w:val="it-IT"/>
              </w:rPr>
              <w:tab/>
            </w:r>
            <w:r>
              <w:rPr>
                <w:rFonts w:ascii="Arial" w:hAnsi="Arial" w:cs="Arial"/>
                <w:sz w:val="18"/>
                <w:szCs w:val="18"/>
                <w:lang w:val="it-IT"/>
              </w:rPr>
              <w:tab/>
            </w:r>
            <w:r>
              <w:rPr>
                <w:rFonts w:ascii="Arial" w:hAnsi="Arial" w:cs="Arial"/>
                <w:b/>
                <w:bCs/>
                <w:sz w:val="18"/>
                <w:szCs w:val="18"/>
                <w:lang w:val="it-IT"/>
              </w:rPr>
              <w:t>Collaudo</w:t>
            </w:r>
            <w:r>
              <w:rPr>
                <w:rFonts w:ascii="Arial" w:hAnsi="Arial" w:cs="Arial"/>
                <w:sz w:val="18"/>
                <w:szCs w:val="18"/>
                <w:lang w:val="it-IT"/>
              </w:rPr>
              <w:tab/>
            </w:r>
            <w:r>
              <w:rPr>
                <w:rFonts w:ascii="Arial" w:hAnsi="Arial" w:cs="Arial"/>
                <w:sz w:val="18"/>
                <w:szCs w:val="18"/>
                <w:lang w:val="it-IT"/>
              </w:rPr>
              <w:tab/>
            </w:r>
            <w:r>
              <w:rPr>
                <w:rFonts w:ascii="Arial" w:hAnsi="Arial" w:cs="Arial"/>
                <w:b/>
                <w:bCs/>
                <w:sz w:val="18"/>
                <w:szCs w:val="18"/>
                <w:lang w:val="it-IT"/>
              </w:rPr>
              <w:t>Autorizzazione</w:t>
            </w:r>
          </w:p>
          <w:p w:rsidR="0048189E" w:rsidRPr="00876D21" w:rsidRDefault="0048189E" w:rsidP="00C839E1">
            <w:pPr>
              <w:rPr>
                <w:rFonts w:ascii="Arial" w:hAnsi="Arial" w:cs="Arial"/>
                <w:b/>
                <w:bCs/>
                <w:sz w:val="18"/>
                <w:szCs w:val="18"/>
                <w:lang w:val="en-US"/>
              </w:rPr>
            </w:pPr>
            <w:r>
              <w:rPr>
                <w:rFonts w:ascii="Arial" w:hAnsi="Arial" w:cs="Arial"/>
                <w:b/>
                <w:bCs/>
                <w:sz w:val="18"/>
                <w:szCs w:val="18"/>
                <w:lang w:val="it-IT"/>
              </w:rPr>
              <w:t>Data</w:t>
            </w:r>
          </w:p>
          <w:p w:rsidR="0048189E" w:rsidRPr="00876D21" w:rsidRDefault="0048189E" w:rsidP="00C839E1">
            <w:pPr>
              <w:rPr>
                <w:rFonts w:ascii="Arial" w:hAnsi="Arial" w:cs="Arial"/>
                <w:b/>
                <w:bCs/>
                <w:sz w:val="18"/>
                <w:szCs w:val="18"/>
                <w:lang w:val="en-US"/>
              </w:rPr>
            </w:pPr>
            <w:r>
              <w:rPr>
                <w:rFonts w:ascii="Arial" w:hAnsi="Arial" w:cs="Arial"/>
                <w:b/>
                <w:bCs/>
                <w:sz w:val="18"/>
                <w:szCs w:val="18"/>
                <w:lang w:val="it-IT"/>
              </w:rPr>
              <w:t>Nome</w:t>
            </w:r>
          </w:p>
          <w:p w:rsidR="0048189E" w:rsidRPr="00876D21" w:rsidRDefault="0048189E" w:rsidP="00C839E1">
            <w:pPr>
              <w:rPr>
                <w:rFonts w:ascii="Arial" w:hAnsi="Arial" w:cs="Arial"/>
                <w:bCs/>
                <w:spacing w:val="-2"/>
                <w:sz w:val="18"/>
                <w:szCs w:val="18"/>
                <w:lang w:val="en-US"/>
              </w:rPr>
            </w:pPr>
            <w:r>
              <w:rPr>
                <w:rFonts w:ascii="Arial" w:hAnsi="Arial" w:cs="Arial"/>
                <w:b/>
                <w:bCs/>
                <w:sz w:val="18"/>
                <w:szCs w:val="18"/>
                <w:lang w:val="it-IT"/>
              </w:rPr>
              <w:t>Firma</w:t>
            </w:r>
          </w:p>
        </w:tc>
      </w:tr>
    </w:tbl>
    <w:p w:rsidR="00D664D0" w:rsidRPr="00876D21" w:rsidRDefault="00D664D0" w:rsidP="00C839E1">
      <w:pPr>
        <w:rPr>
          <w:rFonts w:ascii="Arial" w:hAnsi="Arial" w:cs="Arial"/>
          <w:lang w:val="en-US"/>
        </w:rPr>
      </w:pPr>
    </w:p>
    <w:sectPr w:rsidR="00D664D0" w:rsidRPr="00876D21"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B3"/>
    <w:rsid w:val="00044630"/>
    <w:rsid w:val="001477D0"/>
    <w:rsid w:val="001D6575"/>
    <w:rsid w:val="001E2CF2"/>
    <w:rsid w:val="001F58AF"/>
    <w:rsid w:val="00232051"/>
    <w:rsid w:val="00290FA6"/>
    <w:rsid w:val="003B1A62"/>
    <w:rsid w:val="003B4F1C"/>
    <w:rsid w:val="0048189E"/>
    <w:rsid w:val="004B4916"/>
    <w:rsid w:val="005B5D41"/>
    <w:rsid w:val="005F5D24"/>
    <w:rsid w:val="00645973"/>
    <w:rsid w:val="00674E04"/>
    <w:rsid w:val="00694DF9"/>
    <w:rsid w:val="006D16BE"/>
    <w:rsid w:val="006F163F"/>
    <w:rsid w:val="007237EE"/>
    <w:rsid w:val="00780741"/>
    <w:rsid w:val="00792B6B"/>
    <w:rsid w:val="0086037E"/>
    <w:rsid w:val="00876D21"/>
    <w:rsid w:val="008A7C66"/>
    <w:rsid w:val="008F6C6B"/>
    <w:rsid w:val="00900F60"/>
    <w:rsid w:val="00984DB3"/>
    <w:rsid w:val="009C3CB5"/>
    <w:rsid w:val="009E4313"/>
    <w:rsid w:val="00A25BB7"/>
    <w:rsid w:val="00AE17C9"/>
    <w:rsid w:val="00B137C4"/>
    <w:rsid w:val="00B74AE7"/>
    <w:rsid w:val="00BF1FF8"/>
    <w:rsid w:val="00C839E1"/>
    <w:rsid w:val="00CF2C6C"/>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70898"/>
  <w15:docId w15:val="{EF58E3C4-277E-4FD6-B283-D8E6B58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2</cp:revision>
  <cp:lastPrinted>2006-02-22T10:13:00Z</cp:lastPrinted>
  <dcterms:created xsi:type="dcterms:W3CDTF">2017-06-06T07:56:00Z</dcterms:created>
  <dcterms:modified xsi:type="dcterms:W3CDTF">2019-05-22T13:30:00Z</dcterms:modified>
</cp:coreProperties>
</file>